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3 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18493</w:t>
      </w:r>
      <w:bookmarkStart w:id="6" w:name="_GoBack"/>
      <w:bookmarkEnd w:id="6"/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Orlando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November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  <w:lang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5083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5" w:name="OLE_LINK1"/>
            <w:r>
              <w:rPr>
                <w:rFonts w:eastAsia="宋体"/>
                <w:lang w:val="en-US"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NNR_redcap-Core</w:t>
            </w:r>
            <w:r>
              <w:rPr>
                <w:rFonts w:eastAsia="宋体"/>
                <w:lang w:val="en-US" w:eastAsia="ja-JP"/>
              </w:rPr>
              <w:t>)</w:t>
            </w:r>
            <w:r>
              <w:rPr>
                <w:rFonts w:hint="eastAsia" w:eastAsia="宋体"/>
                <w:lang w:val="en-US" w:eastAsia="zh-CN"/>
              </w:rPr>
              <w:t xml:space="preserve"> Modify CG-SDT requirements for RedCap.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 xml:space="preserve">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In TS38.133, CG-SDT requirements for RedCap shall be modified..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CG-SDT requirements for RedCap.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contents will be vague when considering CG-SDT requirements for RedCap.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5.2B.3, 5.2B.3.1, 5.2B.3.2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5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</w:p>
    <w:p>
      <w:pPr>
        <w:pStyle w:val="5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>
      <w:pPr>
        <w:pStyle w:val="4"/>
        <w:rPr>
          <w:sz w:val="24"/>
        </w:rPr>
      </w:pPr>
      <w:r>
        <w:t>5.2B.3</w:t>
      </w:r>
      <w:r>
        <w:tab/>
      </w:r>
      <w:r>
        <w:t>TA validation requirements for RedCap</w:t>
      </w:r>
    </w:p>
    <w:p>
      <w:pPr>
        <w:rPr>
          <w:iCs/>
        </w:rPr>
      </w:pPr>
      <w:r>
        <w:rPr>
          <w:iCs/>
        </w:rPr>
        <w:t xml:space="preserve">When </w:t>
      </w:r>
      <w:r>
        <w:rPr>
          <w:i/>
          <w:iCs/>
        </w:rPr>
        <w:t>cg-SDT-RSRP-ChangeThreshold</w:t>
      </w:r>
      <w:r>
        <w:rPr>
          <w:iCs/>
        </w:rPr>
        <w:t xml:space="preserve"> [TS 38.331] is configured for TA validation based on the RSRP change criterion according to clause </w:t>
      </w:r>
      <w:r>
        <w:t>5.</w:t>
      </w:r>
      <w:r>
        <w:rPr>
          <w:iCs/>
        </w:rPr>
        <w:t>8</w:t>
      </w:r>
      <w:r>
        <w:t xml:space="preserve">.2 </w:t>
      </w:r>
      <w:r>
        <w:rPr>
          <w:iCs/>
        </w:rPr>
        <w:t>in</w:t>
      </w:r>
      <w:r>
        <w:rPr>
          <w:iCs/>
          <w:lang w:eastAsia="zh-CN"/>
        </w:rPr>
        <w:t xml:space="preserve"> [</w:t>
      </w:r>
      <w:r>
        <w:rPr>
          <w:iCs/>
        </w:rPr>
        <w:t xml:space="preserve">TS 38.321], the UE is allowed to transmit using CG-SDT using the timing derived using the latest available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iCs/>
        </w:rPr>
        <w:t xml:space="preserve"> value as specified in subclause 7.1 provided that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first RSRP (RSRP</w:t>
      </w:r>
      <w:r>
        <w:rPr>
          <w:vertAlign w:val="subscript"/>
          <w:lang w:val="en-US"/>
        </w:rPr>
        <w:t>1</w:t>
      </w:r>
      <w:r>
        <w:rPr>
          <w:lang w:val="en-US"/>
        </w:rPr>
        <w:t>) measurement and the second RSRP (RSRP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) measurements used in the TA validation are valid measurements and, </w:t>
      </w:r>
    </w:p>
    <w:p>
      <w:pPr>
        <w:pStyle w:val="105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timing alignment validation for transmission using CG-SDT is valid according to the validation criteria in clause 5.8.2 in [TS 38.321].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0" w:author="ZTE Derrick meeting-pre" w:date="2024-11-07T16:51:22Z">
        <w:r>
          <w:rPr>
            <w:rFonts w:hint="eastAsia" w:eastAsia="宋体"/>
            <w:lang w:val="en-US" w:eastAsia="zh-CN"/>
          </w:rPr>
          <w:t>3</w:t>
        </w:r>
      </w:ins>
      <w:del w:id="1" w:author="ZTE Derrick meeting-pre" w:date="2024-11-07T16:51:22Z">
        <w:r>
          <w:rPr/>
          <w:delText>2</w:delText>
        </w:r>
      </w:del>
      <w:r>
        <w:t>-1 are met for FR1 when UE is not configured with any eDRX cycle by serving gNB or core network.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2" w:author="ZTE Derrick meeting-pre" w:date="2024-11-07T16:51:25Z">
        <w:r>
          <w:rPr>
            <w:rFonts w:hint="eastAsia" w:eastAsia="宋体"/>
            <w:lang w:val="en-US" w:eastAsia="zh-CN"/>
          </w:rPr>
          <w:t>3</w:t>
        </w:r>
      </w:ins>
      <w:del w:id="3" w:author="ZTE Derrick meeting-pre" w:date="2024-11-07T16:51:25Z">
        <w:r>
          <w:rPr/>
          <w:delText>2</w:delText>
        </w:r>
      </w:del>
      <w:r>
        <w:t>-2 are met for FR2 regardless of whether the UE is configured with eDRX cycle by serving gNB or core network (AMF).</w:t>
      </w:r>
    </w:p>
    <w:p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are </w:t>
      </w:r>
      <w:r>
        <w:t>considered valid provided that the conditions in Table 5.2B.</w:t>
      </w:r>
      <w:ins w:id="4" w:author="ZTE Derrick meeting-pre" w:date="2024-11-07T16:51:27Z">
        <w:r>
          <w:rPr>
            <w:rFonts w:hint="eastAsia" w:eastAsia="宋体"/>
            <w:lang w:val="en-US" w:eastAsia="zh-CN"/>
          </w:rPr>
          <w:t>3</w:t>
        </w:r>
      </w:ins>
      <w:del w:id="5" w:author="ZTE Derrick meeting-pre" w:date="2024-11-07T16:51:27Z">
        <w:r>
          <w:rPr/>
          <w:delText>2</w:delText>
        </w:r>
      </w:del>
      <w:r>
        <w:t>-3 are met for FR1 when UE is configured:</w:t>
      </w:r>
    </w:p>
    <w:p>
      <w:pPr>
        <w:pStyle w:val="105"/>
      </w:pPr>
      <w:r>
        <w:t>-</w:t>
      </w:r>
      <w:r>
        <w:tab/>
      </w:r>
      <w:r>
        <w:t>only with RAN eDRX cycle (</w:t>
      </w:r>
      <w:r>
        <w:rPr>
          <w:lang w:val="fr-FR"/>
        </w:rPr>
        <w:t>T</w:t>
      </w:r>
      <w:r>
        <w:rPr>
          <w:vertAlign w:val="subscript"/>
          <w:lang w:val="fr-FR"/>
        </w:rPr>
        <w:t>eDRX-RAN</w:t>
      </w:r>
      <w:r>
        <w:t>) by the serving gNB, or</w:t>
      </w:r>
    </w:p>
    <w:p>
      <w:pPr>
        <w:pStyle w:val="105"/>
        <w:rPr>
          <w:i/>
          <w:iCs/>
          <w:lang w:val="fr-FR"/>
        </w:rPr>
      </w:pPr>
      <w:r>
        <w:t>-</w:t>
      </w:r>
      <w:r>
        <w:tab/>
      </w:r>
      <w:r>
        <w:t xml:space="preserve">with both </w:t>
      </w:r>
      <w:r>
        <w:rPr>
          <w:lang w:val="fr-FR"/>
        </w:rPr>
        <w:t>T</w:t>
      </w:r>
      <w:r>
        <w:rPr>
          <w:vertAlign w:val="subscript"/>
          <w:lang w:val="fr-FR"/>
        </w:rPr>
        <w:t xml:space="preserve">eDRX-RAN </w:t>
      </w:r>
      <w:r>
        <w:rPr>
          <w:lang w:val="fr-FR"/>
        </w:rPr>
        <w:t xml:space="preserve">by </w:t>
      </w:r>
      <w:r>
        <w:t>serving gNB and CN eDRX cycle (</w:t>
      </w:r>
      <w:r>
        <w:rPr>
          <w:lang w:val="fr-FR"/>
        </w:rPr>
        <w:t>T</w:t>
      </w:r>
      <w:r>
        <w:rPr>
          <w:vertAlign w:val="subscript"/>
          <w:lang w:val="fr-FR"/>
        </w:rPr>
        <w:t>eDRX-CN</w:t>
      </w:r>
      <w:r>
        <w:t>) by the core network (AMF)</w:t>
      </w:r>
    </w:p>
    <w:p>
      <w:pPr>
        <w:pStyle w:val="85"/>
        <w:rPr>
          <w:lang w:val="fr-FR"/>
        </w:rPr>
      </w:pPr>
      <w:r>
        <w:rPr>
          <w:lang w:val="fr-FR"/>
        </w:rPr>
        <w:t>Table 5.2B.3-1 Valid measurement for FR1 without eDRX cycle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(T1 –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(T2 – min(640ms, M1*T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>
      <w:pPr>
        <w:rPr>
          <w:lang w:val="sv-SE"/>
        </w:rPr>
      </w:pPr>
    </w:p>
    <w:p>
      <w:pPr>
        <w:pStyle w:val="85"/>
        <w:rPr>
          <w:lang w:val="fr-FR"/>
        </w:rPr>
      </w:pPr>
      <w:r>
        <w:rPr>
          <w:lang w:val="fr-FR"/>
        </w:rPr>
        <w:t xml:space="preserve">Table 5.2B.3-2 Valid measurement for FR2 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max{480ms, 8*SMTC periodicity})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max{480ms, 8*SMTC periodicity})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max{480ms, 8*SMTC periodicity})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>
      <w:pPr>
        <w:rPr>
          <w:lang w:val="fr-FR"/>
        </w:rPr>
      </w:pPr>
    </w:p>
    <w:p>
      <w:pPr>
        <w:pStyle w:val="85"/>
        <w:rPr>
          <w:lang w:val="fr-FR"/>
        </w:rPr>
      </w:pPr>
      <w:r>
        <w:rPr>
          <w:lang w:val="fr-FR"/>
        </w:rPr>
        <w:t>Table 5.2B.3-3 Valid measurement for FR1 with eDRX cycle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Measurement</w:t>
            </w:r>
          </w:p>
        </w:tc>
        <w:tc>
          <w:tcPr>
            <w:tcW w:w="7791" w:type="dxa"/>
          </w:tcPr>
          <w:p>
            <w:pPr>
              <w:pStyle w:val="81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min(640ms, M1* </w:t>
            </w:r>
            <w:r>
              <w:rPr>
                <w:rFonts w:hint="eastAsia"/>
                <w:lang w:val="fr-FR"/>
              </w:rPr>
              <w:t>T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 xml:space="preserve">(T1 + min(640ms, M1* </w:t>
            </w:r>
            <w:r>
              <w:rPr>
                <w:rFonts w:hint="eastAsia"/>
                <w:lang w:val="fr-FR"/>
              </w:rPr>
              <w:t>T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>
            <w:pPr>
              <w:pStyle w:val="82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(T2 – min(640ms, M1* T</w:t>
            </w:r>
            <w:r>
              <w:rPr>
                <w:vertAlign w:val="subscript"/>
                <w:lang w:val="fr-FR"/>
              </w:rPr>
              <w:t>eDRX-RAN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2"/>
          </w:tcPr>
          <w:p>
            <w:pPr>
              <w:pStyle w:val="96"/>
              <w:rPr>
                <w:lang w:val="fr-FR"/>
              </w:rPr>
            </w:pPr>
            <w:r>
              <w:t>Note1:</w:t>
            </w:r>
            <w:r>
              <w:rPr>
                <w:lang w:val="en-US"/>
              </w:rPr>
              <w:tab/>
            </w:r>
            <w:r>
              <w:rPr>
                <w:rFonts w:cs="v4.2.0"/>
              </w:rPr>
              <w:t>T is dertermined according to clause 7.1 in [1].</w:t>
            </w:r>
          </w:p>
        </w:tc>
      </w:tr>
    </w:tbl>
    <w:p>
      <w:pPr>
        <w:rPr>
          <w:lang w:val="fr-FR"/>
        </w:rPr>
      </w:pPr>
    </w:p>
    <w:p>
      <w:r>
        <w:t xml:space="preserve">If at least one of </w:t>
      </w:r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</w:t>
      </w:r>
      <w:r>
        <w:t xml:space="preserve">is considered to be invalid based on the above conditions, then the UE shall not validate the CG-SDT using </w:t>
      </w:r>
      <w:r>
        <w:rPr>
          <w:iCs/>
        </w:rPr>
        <w:t>RSRP</w:t>
      </w:r>
      <w:r>
        <w:rPr>
          <w:iCs/>
          <w:vertAlign w:val="subscript"/>
        </w:rPr>
        <w:t>1</w:t>
      </w:r>
      <w:r>
        <w:rPr>
          <w:iCs/>
        </w:rPr>
        <w:t xml:space="preserve"> and RSRP</w:t>
      </w:r>
      <w:r>
        <w:rPr>
          <w:iCs/>
          <w:vertAlign w:val="subscript"/>
        </w:rPr>
        <w:t>2</w:t>
      </w:r>
      <w:r>
        <w:rPr>
          <w:iCs/>
        </w:rPr>
        <w:t xml:space="preserve"> </w:t>
      </w:r>
      <w:r>
        <w:t>and shall not transmit using CG-SDT. Additionally for the initial CG-SDT transmission, the UE shall not transmit in an CG-SDT occasion that occurs more than [640 ms] after T2.</w:t>
      </w:r>
    </w:p>
    <w:p>
      <w:pPr>
        <w:rPr>
          <w:iCs/>
        </w:rPr>
      </w:pPr>
      <w:r>
        <w:rPr>
          <w:iCs/>
        </w:rPr>
        <w:t xml:space="preserve">Where: 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T1 is the time when the latest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was obtained by the UE via: </w:t>
      </w:r>
      <w:r>
        <w:t xml:space="preserve"> </w:t>
      </w:r>
    </w:p>
    <w:p>
      <w:pPr>
        <w:pStyle w:val="106"/>
        <w:rPr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i/>
          <w:lang w:val="en-US" w:eastAsia="ko-KR"/>
        </w:rPr>
        <w:t>RRCRelease</w:t>
      </w:r>
      <w:r>
        <w:rPr>
          <w:rFonts w:hint="eastAsia"/>
          <w:lang w:val="en-US" w:eastAsia="ko-KR"/>
        </w:rPr>
        <w:t xml:space="preserve"> with CG-SDT configuration</w:t>
      </w:r>
      <w:r>
        <w:rPr>
          <w:lang w:val="en-US" w:eastAsia="ko-KR"/>
        </w:rPr>
        <w:t xml:space="preserve"> (TS 38.331 [2]) is received, or </w:t>
      </w:r>
    </w:p>
    <w:p>
      <w:pPr>
        <w:pStyle w:val="105"/>
        <w:rPr>
          <w:lang w:val="en-US"/>
        </w:rPr>
      </w:pPr>
      <w:r>
        <w:rPr>
          <w:lang w:val="en-US" w:eastAsia="ko-KR"/>
        </w:rPr>
        <w:t>-</w:t>
      </w:r>
      <w:r>
        <w:rPr>
          <w:lang w:val="en-US"/>
        </w:rPr>
        <w:tab/>
      </w:r>
      <w:r>
        <w:rPr>
          <w:lang w:val="en-US"/>
        </w:rPr>
        <w:t>the latest TA is received if TA is received while in RRC_INACITVE state.-</w:t>
      </w:r>
      <w:r>
        <w:rPr>
          <w:lang w:val="en-US"/>
        </w:rPr>
        <w:tab/>
      </w:r>
      <w:r>
        <w:rPr>
          <w:lang w:val="en-US"/>
        </w:rPr>
        <w:t>T1’ is the time when the UE has completed RSRP</w:t>
      </w:r>
      <w:r>
        <w:rPr>
          <w:vertAlign w:val="subscript"/>
          <w:lang w:val="en-US"/>
        </w:rPr>
        <w:t>1</w:t>
      </w:r>
      <w:r>
        <w:rPr>
          <w:lang w:val="en-US"/>
        </w:rPr>
        <w:t>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T2 is the time when the UE performs TA validation as defined in clause 5.8.2.x in [TS 38.321] for transmission using CG-SDT.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T2’ is the time when the UE has completed RSRP</w:t>
      </w:r>
      <w:r>
        <w:rPr>
          <w:vertAlign w:val="subscript"/>
          <w:lang w:val="en-US"/>
        </w:rPr>
        <w:t>2</w:t>
      </w:r>
      <w:r>
        <w:rPr>
          <w:lang w:val="en-US"/>
        </w:rPr>
        <w:t>.</w:t>
      </w:r>
    </w:p>
    <w:p>
      <w:pPr>
        <w:pStyle w:val="10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</w:t>
      </w:r>
      <w:r>
        <w:rPr>
          <w:vertAlign w:val="subscript"/>
          <w:lang w:val="en-US"/>
        </w:rPr>
        <w:t>DRX</w:t>
      </w:r>
      <w:r>
        <w:rPr>
          <w:lang w:val="en-US"/>
        </w:rPr>
        <w:t xml:space="preserve"> is the DRX cycle length in ms. </w:t>
      </w:r>
    </w:p>
    <w:p>
      <w:pPr>
        <w:pStyle w:val="105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M1 the scaling factor as defined in clause 4.2.2.2.</w:t>
      </w:r>
    </w:p>
    <w:p>
      <w:pPr>
        <w:pStyle w:val="5"/>
      </w:pPr>
      <w:r>
        <w:t>5.2B.</w:t>
      </w:r>
      <w:ins w:id="6" w:author="ZTE Derrick meeting-pre" w:date="2024-11-07T16:54:06Z">
        <w:r>
          <w:rPr>
            <w:rFonts w:hint="eastAsia" w:eastAsia="宋体"/>
            <w:lang w:val="en-US" w:eastAsia="zh-CN"/>
          </w:rPr>
          <w:t>3</w:t>
        </w:r>
      </w:ins>
      <w:del w:id="7" w:author="ZTE Derrick meeting-pre" w:date="2024-11-07T16:54:05Z">
        <w:r>
          <w:rPr/>
          <w:delText>2</w:delText>
        </w:r>
      </w:del>
      <w:r>
        <w:t>.</w:t>
      </w:r>
      <w:ins w:id="8" w:author="ZTE Derrick meeting-pre" w:date="2024-11-07T16:54:07Z">
        <w:r>
          <w:rPr>
            <w:rFonts w:hint="eastAsia" w:eastAsia="宋体"/>
            <w:lang w:val="en-US" w:eastAsia="zh-CN"/>
          </w:rPr>
          <w:t>1</w:t>
        </w:r>
      </w:ins>
      <w:del w:id="9" w:author="ZTE Derrick meeting-pre" w:date="2024-11-07T16:54:07Z">
        <w:r>
          <w:rPr/>
          <w:delText>2</w:delText>
        </w:r>
      </w:del>
      <w:r>
        <w:tab/>
      </w:r>
      <w:r>
        <w:t>Void</w:t>
      </w:r>
    </w:p>
    <w:p>
      <w:pPr>
        <w:rPr>
          <w:del w:id="10" w:author="ZTE Derrick meeting-pre" w:date="2024-11-07T16:54:19Z"/>
        </w:rPr>
      </w:pPr>
      <w:del w:id="11" w:author="ZTE Derrick meeting-pre" w:date="2024-11-07T16:54:19Z">
        <w:r>
          <w:rPr/>
          <w:delText>Void</w:delText>
        </w:r>
      </w:del>
    </w:p>
    <w:p>
      <w:pPr>
        <w:pStyle w:val="5"/>
        <w:rPr>
          <w:ins w:id="12" w:author="ZTE Derrick meeting-pre" w:date="2024-11-07T16:54:23Z"/>
        </w:rPr>
      </w:pPr>
      <w:ins w:id="13" w:author="ZTE Derrick meeting-pre" w:date="2024-11-07T16:54:23Z">
        <w:r>
          <w:rPr/>
          <w:t>5.2B.</w:t>
        </w:r>
      </w:ins>
      <w:ins w:id="14" w:author="ZTE Derrick meeting-pre" w:date="2024-11-07T16:54:23Z">
        <w:r>
          <w:rPr>
            <w:rFonts w:hint="eastAsia" w:eastAsia="宋体"/>
            <w:lang w:val="en-US" w:eastAsia="zh-CN"/>
          </w:rPr>
          <w:t>3</w:t>
        </w:r>
      </w:ins>
      <w:ins w:id="15" w:author="ZTE Derrick meeting-pre" w:date="2024-11-07T16:54:23Z">
        <w:r>
          <w:rPr/>
          <w:t>.</w:t>
        </w:r>
      </w:ins>
      <w:ins w:id="16" w:author="ZTE Derrick meeting-pre" w:date="2024-11-07T16:54:27Z">
        <w:r>
          <w:rPr>
            <w:rFonts w:hint="eastAsia" w:eastAsia="宋体"/>
            <w:lang w:val="en-US" w:eastAsia="zh-CN"/>
          </w:rPr>
          <w:t>2</w:t>
        </w:r>
      </w:ins>
      <w:ins w:id="17" w:author="ZTE Derrick meeting-pre" w:date="2024-11-07T16:54:23Z">
        <w:r>
          <w:rPr/>
          <w:tab/>
        </w:r>
      </w:ins>
      <w:ins w:id="18" w:author="ZTE Derrick meeting-pre" w:date="2024-11-07T16:54:23Z">
        <w:r>
          <w:rPr/>
          <w:t>Void</w:t>
        </w:r>
      </w:ins>
    </w:p>
    <w:p>
      <w:pPr>
        <w:pStyle w:val="5"/>
        <w:tabs>
          <w:tab w:val="left" w:pos="2000"/>
        </w:tabs>
        <w:rPr>
          <w:rFonts w:cs="Arial"/>
          <w:color w:val="FF0000"/>
        </w:r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hint="eastAsia" w:eastAsia="宋体" w:cs="Arial"/>
          <w:color w:val="FF0000"/>
          <w:lang w:val="en-US" w:eastAsia="zh-CN"/>
        </w:rPr>
        <w:t xml:space="preserve"> 2</w:t>
      </w:r>
      <w:r>
        <w:rPr>
          <w:rFonts w:cs="Arial"/>
          <w:color w:val="FF0000"/>
        </w:rPr>
        <w:t>&gt;</w:t>
      </w:r>
    </w:p>
    <w:p/>
    <w:p>
      <w:pPr>
        <w:rPr>
          <w:rFonts w:hint="eastAsia" w:eastAsiaTheme="minorEastAsia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46B77"/>
    <w:rsid w:val="00061BE9"/>
    <w:rsid w:val="00067B6D"/>
    <w:rsid w:val="00071758"/>
    <w:rsid w:val="00083911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E00EE"/>
    <w:rsid w:val="000F480D"/>
    <w:rsid w:val="00103B36"/>
    <w:rsid w:val="00107B9D"/>
    <w:rsid w:val="00115DAE"/>
    <w:rsid w:val="00125BB8"/>
    <w:rsid w:val="00142301"/>
    <w:rsid w:val="0014560E"/>
    <w:rsid w:val="00145D43"/>
    <w:rsid w:val="001477FC"/>
    <w:rsid w:val="001636BE"/>
    <w:rsid w:val="00165215"/>
    <w:rsid w:val="00174B72"/>
    <w:rsid w:val="00177471"/>
    <w:rsid w:val="00177AF3"/>
    <w:rsid w:val="001877BF"/>
    <w:rsid w:val="00192C46"/>
    <w:rsid w:val="00192F3E"/>
    <w:rsid w:val="00194D0C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1E6C89"/>
    <w:rsid w:val="001F7C9F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53DE5"/>
    <w:rsid w:val="003609EF"/>
    <w:rsid w:val="0036231A"/>
    <w:rsid w:val="00366566"/>
    <w:rsid w:val="003711F7"/>
    <w:rsid w:val="00374DD4"/>
    <w:rsid w:val="003817EC"/>
    <w:rsid w:val="00382C67"/>
    <w:rsid w:val="00384BCF"/>
    <w:rsid w:val="00385728"/>
    <w:rsid w:val="003870F7"/>
    <w:rsid w:val="003935C8"/>
    <w:rsid w:val="003940B8"/>
    <w:rsid w:val="00395409"/>
    <w:rsid w:val="003A71FD"/>
    <w:rsid w:val="003A7957"/>
    <w:rsid w:val="003C0AEC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4D95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5CED"/>
    <w:rsid w:val="004B75B7"/>
    <w:rsid w:val="004C48D7"/>
    <w:rsid w:val="004C791A"/>
    <w:rsid w:val="004F1F14"/>
    <w:rsid w:val="004F2111"/>
    <w:rsid w:val="004F223E"/>
    <w:rsid w:val="004F7C55"/>
    <w:rsid w:val="00504254"/>
    <w:rsid w:val="00504B2A"/>
    <w:rsid w:val="00506D5C"/>
    <w:rsid w:val="005075D6"/>
    <w:rsid w:val="00513633"/>
    <w:rsid w:val="0051580D"/>
    <w:rsid w:val="00522A68"/>
    <w:rsid w:val="005265B3"/>
    <w:rsid w:val="0052797F"/>
    <w:rsid w:val="00540221"/>
    <w:rsid w:val="00547111"/>
    <w:rsid w:val="005579C2"/>
    <w:rsid w:val="00557B80"/>
    <w:rsid w:val="0056118A"/>
    <w:rsid w:val="00564F38"/>
    <w:rsid w:val="00565529"/>
    <w:rsid w:val="00573E53"/>
    <w:rsid w:val="0058113D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2377"/>
    <w:rsid w:val="00614E61"/>
    <w:rsid w:val="00621188"/>
    <w:rsid w:val="006257ED"/>
    <w:rsid w:val="006415CC"/>
    <w:rsid w:val="00641EAE"/>
    <w:rsid w:val="0065265D"/>
    <w:rsid w:val="006532C5"/>
    <w:rsid w:val="00654156"/>
    <w:rsid w:val="00657027"/>
    <w:rsid w:val="00657040"/>
    <w:rsid w:val="00661C95"/>
    <w:rsid w:val="00665C47"/>
    <w:rsid w:val="006708DF"/>
    <w:rsid w:val="00682BF0"/>
    <w:rsid w:val="00695808"/>
    <w:rsid w:val="006B44ED"/>
    <w:rsid w:val="006B46FB"/>
    <w:rsid w:val="006B7F7D"/>
    <w:rsid w:val="006C6F3F"/>
    <w:rsid w:val="006C78E0"/>
    <w:rsid w:val="006E1E2F"/>
    <w:rsid w:val="006E21FB"/>
    <w:rsid w:val="006F0967"/>
    <w:rsid w:val="006F2F61"/>
    <w:rsid w:val="006F4327"/>
    <w:rsid w:val="007102CE"/>
    <w:rsid w:val="0071059B"/>
    <w:rsid w:val="0071394A"/>
    <w:rsid w:val="00717436"/>
    <w:rsid w:val="007176FF"/>
    <w:rsid w:val="00720514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C6946"/>
    <w:rsid w:val="007D0432"/>
    <w:rsid w:val="007D6A07"/>
    <w:rsid w:val="007E518D"/>
    <w:rsid w:val="007E5FE7"/>
    <w:rsid w:val="007F7259"/>
    <w:rsid w:val="008040A8"/>
    <w:rsid w:val="0081008E"/>
    <w:rsid w:val="00814465"/>
    <w:rsid w:val="008145A4"/>
    <w:rsid w:val="008234BD"/>
    <w:rsid w:val="008279FA"/>
    <w:rsid w:val="00853241"/>
    <w:rsid w:val="00857634"/>
    <w:rsid w:val="00857675"/>
    <w:rsid w:val="00861285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1E9B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5722"/>
    <w:rsid w:val="00906C2E"/>
    <w:rsid w:val="009148DE"/>
    <w:rsid w:val="009206E3"/>
    <w:rsid w:val="00922D2B"/>
    <w:rsid w:val="00930B71"/>
    <w:rsid w:val="00931A8C"/>
    <w:rsid w:val="00931EC1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95567"/>
    <w:rsid w:val="009A1C20"/>
    <w:rsid w:val="009A5753"/>
    <w:rsid w:val="009A579D"/>
    <w:rsid w:val="009C2559"/>
    <w:rsid w:val="009C25E7"/>
    <w:rsid w:val="009C3952"/>
    <w:rsid w:val="009C5429"/>
    <w:rsid w:val="009C5CFC"/>
    <w:rsid w:val="009D7460"/>
    <w:rsid w:val="009E007A"/>
    <w:rsid w:val="009E3297"/>
    <w:rsid w:val="009E64B1"/>
    <w:rsid w:val="009E6D9E"/>
    <w:rsid w:val="009F734F"/>
    <w:rsid w:val="00A06AAF"/>
    <w:rsid w:val="00A072CB"/>
    <w:rsid w:val="00A12546"/>
    <w:rsid w:val="00A167D9"/>
    <w:rsid w:val="00A17E89"/>
    <w:rsid w:val="00A2155F"/>
    <w:rsid w:val="00A21651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D7D69"/>
    <w:rsid w:val="00AF0952"/>
    <w:rsid w:val="00AF5E03"/>
    <w:rsid w:val="00B11AAD"/>
    <w:rsid w:val="00B133B1"/>
    <w:rsid w:val="00B15E97"/>
    <w:rsid w:val="00B208A6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80E07"/>
    <w:rsid w:val="00B858B5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2A36"/>
    <w:rsid w:val="00BD6BB8"/>
    <w:rsid w:val="00BE0CA6"/>
    <w:rsid w:val="00BE257B"/>
    <w:rsid w:val="00BF6E28"/>
    <w:rsid w:val="00C02D28"/>
    <w:rsid w:val="00C10CAA"/>
    <w:rsid w:val="00C2728E"/>
    <w:rsid w:val="00C30015"/>
    <w:rsid w:val="00C3122F"/>
    <w:rsid w:val="00C376AC"/>
    <w:rsid w:val="00C43ACB"/>
    <w:rsid w:val="00C45E70"/>
    <w:rsid w:val="00C54EE3"/>
    <w:rsid w:val="00C636B0"/>
    <w:rsid w:val="00C64A17"/>
    <w:rsid w:val="00C66BA2"/>
    <w:rsid w:val="00C83504"/>
    <w:rsid w:val="00C86DE9"/>
    <w:rsid w:val="00C9198D"/>
    <w:rsid w:val="00C92698"/>
    <w:rsid w:val="00C92C7C"/>
    <w:rsid w:val="00C95985"/>
    <w:rsid w:val="00CA0CB2"/>
    <w:rsid w:val="00CA242F"/>
    <w:rsid w:val="00CB2024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14717"/>
    <w:rsid w:val="00D24991"/>
    <w:rsid w:val="00D25178"/>
    <w:rsid w:val="00D25B81"/>
    <w:rsid w:val="00D25D5D"/>
    <w:rsid w:val="00D3382B"/>
    <w:rsid w:val="00D3675C"/>
    <w:rsid w:val="00D3765D"/>
    <w:rsid w:val="00D5003B"/>
    <w:rsid w:val="00D50255"/>
    <w:rsid w:val="00D545AE"/>
    <w:rsid w:val="00D54805"/>
    <w:rsid w:val="00D57BF0"/>
    <w:rsid w:val="00D57FC9"/>
    <w:rsid w:val="00D65120"/>
    <w:rsid w:val="00D66395"/>
    <w:rsid w:val="00D66520"/>
    <w:rsid w:val="00D66D46"/>
    <w:rsid w:val="00D72DE7"/>
    <w:rsid w:val="00D72F4E"/>
    <w:rsid w:val="00D82297"/>
    <w:rsid w:val="00DA5634"/>
    <w:rsid w:val="00DA6270"/>
    <w:rsid w:val="00DB36DA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40EBC"/>
    <w:rsid w:val="00E51DB1"/>
    <w:rsid w:val="00E620C4"/>
    <w:rsid w:val="00E62C93"/>
    <w:rsid w:val="00E734F3"/>
    <w:rsid w:val="00E768D6"/>
    <w:rsid w:val="00E801DC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EF69EF"/>
    <w:rsid w:val="00F10B1E"/>
    <w:rsid w:val="00F249A1"/>
    <w:rsid w:val="00F25D98"/>
    <w:rsid w:val="00F300FB"/>
    <w:rsid w:val="00F51556"/>
    <w:rsid w:val="00F53284"/>
    <w:rsid w:val="00F56F39"/>
    <w:rsid w:val="00F65581"/>
    <w:rsid w:val="00F71ECD"/>
    <w:rsid w:val="00F74E49"/>
    <w:rsid w:val="00F81FA0"/>
    <w:rsid w:val="00F83B29"/>
    <w:rsid w:val="00FA374C"/>
    <w:rsid w:val="00FA6EA2"/>
    <w:rsid w:val="00FB2977"/>
    <w:rsid w:val="00FB53F4"/>
    <w:rsid w:val="00FB6386"/>
    <w:rsid w:val="00FC1225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043138"/>
    <w:rsid w:val="01752E77"/>
    <w:rsid w:val="017E53FF"/>
    <w:rsid w:val="027D2608"/>
    <w:rsid w:val="038C185D"/>
    <w:rsid w:val="043D4FA5"/>
    <w:rsid w:val="05701473"/>
    <w:rsid w:val="071E2777"/>
    <w:rsid w:val="07414214"/>
    <w:rsid w:val="07B87EC3"/>
    <w:rsid w:val="082132F5"/>
    <w:rsid w:val="08EA41E4"/>
    <w:rsid w:val="099730C7"/>
    <w:rsid w:val="09E12241"/>
    <w:rsid w:val="0A301292"/>
    <w:rsid w:val="0B762065"/>
    <w:rsid w:val="0BBB08A4"/>
    <w:rsid w:val="0C8175E4"/>
    <w:rsid w:val="0CCA246F"/>
    <w:rsid w:val="0E530769"/>
    <w:rsid w:val="10511251"/>
    <w:rsid w:val="111E3AFC"/>
    <w:rsid w:val="12F23D8C"/>
    <w:rsid w:val="13F418A7"/>
    <w:rsid w:val="14A53130"/>
    <w:rsid w:val="15EA2872"/>
    <w:rsid w:val="15ED6243"/>
    <w:rsid w:val="16845465"/>
    <w:rsid w:val="169E25A8"/>
    <w:rsid w:val="181872A0"/>
    <w:rsid w:val="18360931"/>
    <w:rsid w:val="19D46109"/>
    <w:rsid w:val="19E52087"/>
    <w:rsid w:val="1AA50B5C"/>
    <w:rsid w:val="1F16618C"/>
    <w:rsid w:val="20A4469A"/>
    <w:rsid w:val="20F2019E"/>
    <w:rsid w:val="21D438BD"/>
    <w:rsid w:val="231D2717"/>
    <w:rsid w:val="24A85728"/>
    <w:rsid w:val="25392E9F"/>
    <w:rsid w:val="26D47358"/>
    <w:rsid w:val="27724D2D"/>
    <w:rsid w:val="28794497"/>
    <w:rsid w:val="28F82504"/>
    <w:rsid w:val="294957FA"/>
    <w:rsid w:val="2A7928C5"/>
    <w:rsid w:val="2AB80A15"/>
    <w:rsid w:val="2AE84CE7"/>
    <w:rsid w:val="2CDA475F"/>
    <w:rsid w:val="2D74780B"/>
    <w:rsid w:val="2EFB3041"/>
    <w:rsid w:val="2FA82346"/>
    <w:rsid w:val="30435717"/>
    <w:rsid w:val="30470B79"/>
    <w:rsid w:val="306871A5"/>
    <w:rsid w:val="31AE44E7"/>
    <w:rsid w:val="332B6F0F"/>
    <w:rsid w:val="339566B2"/>
    <w:rsid w:val="341911A0"/>
    <w:rsid w:val="34EF5387"/>
    <w:rsid w:val="35186C5C"/>
    <w:rsid w:val="3732209F"/>
    <w:rsid w:val="386556B9"/>
    <w:rsid w:val="386E56D8"/>
    <w:rsid w:val="38EF541D"/>
    <w:rsid w:val="3931168D"/>
    <w:rsid w:val="3BD308A8"/>
    <w:rsid w:val="3D890037"/>
    <w:rsid w:val="3F032416"/>
    <w:rsid w:val="3F476FDD"/>
    <w:rsid w:val="3FEB66EB"/>
    <w:rsid w:val="40A53E20"/>
    <w:rsid w:val="41C14222"/>
    <w:rsid w:val="439B66E0"/>
    <w:rsid w:val="451F6E1F"/>
    <w:rsid w:val="455378ED"/>
    <w:rsid w:val="46E42C34"/>
    <w:rsid w:val="48B0649E"/>
    <w:rsid w:val="496E701C"/>
    <w:rsid w:val="4BF50348"/>
    <w:rsid w:val="4C134676"/>
    <w:rsid w:val="4E8B6232"/>
    <w:rsid w:val="4EB46B62"/>
    <w:rsid w:val="4EFD071B"/>
    <w:rsid w:val="4F09699E"/>
    <w:rsid w:val="4F212BF5"/>
    <w:rsid w:val="4FF27F05"/>
    <w:rsid w:val="520632A9"/>
    <w:rsid w:val="52D914E3"/>
    <w:rsid w:val="534955E2"/>
    <w:rsid w:val="53DD5AF1"/>
    <w:rsid w:val="547C2F28"/>
    <w:rsid w:val="54837097"/>
    <w:rsid w:val="54BF35FE"/>
    <w:rsid w:val="552F3F9F"/>
    <w:rsid w:val="56442820"/>
    <w:rsid w:val="575A28B8"/>
    <w:rsid w:val="57D153FE"/>
    <w:rsid w:val="58A21419"/>
    <w:rsid w:val="5B19569C"/>
    <w:rsid w:val="5BA34F02"/>
    <w:rsid w:val="5DB0630A"/>
    <w:rsid w:val="5DCB787D"/>
    <w:rsid w:val="5E2101D9"/>
    <w:rsid w:val="5EC74C4A"/>
    <w:rsid w:val="5F7971FD"/>
    <w:rsid w:val="605469BE"/>
    <w:rsid w:val="627428F4"/>
    <w:rsid w:val="62DF3642"/>
    <w:rsid w:val="6456421D"/>
    <w:rsid w:val="65C03DFC"/>
    <w:rsid w:val="65D57584"/>
    <w:rsid w:val="679E6ED6"/>
    <w:rsid w:val="6840014B"/>
    <w:rsid w:val="68471D45"/>
    <w:rsid w:val="68B718E6"/>
    <w:rsid w:val="6926728F"/>
    <w:rsid w:val="693A44DE"/>
    <w:rsid w:val="694C599F"/>
    <w:rsid w:val="6A976F56"/>
    <w:rsid w:val="6AB37D1A"/>
    <w:rsid w:val="6ACB0013"/>
    <w:rsid w:val="6CFA642E"/>
    <w:rsid w:val="6D782E13"/>
    <w:rsid w:val="6D921AF2"/>
    <w:rsid w:val="6E0647DC"/>
    <w:rsid w:val="6ED02555"/>
    <w:rsid w:val="719B56EF"/>
    <w:rsid w:val="72BD44DD"/>
    <w:rsid w:val="731E391A"/>
    <w:rsid w:val="742D5A28"/>
    <w:rsid w:val="7492574D"/>
    <w:rsid w:val="76734034"/>
    <w:rsid w:val="775B39E2"/>
    <w:rsid w:val="78250CB4"/>
    <w:rsid w:val="7BA12DE1"/>
    <w:rsid w:val="7C34495E"/>
    <w:rsid w:val="7C87365F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批注框文本 字符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脚注文本 字符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批注文字 字符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批注主题 字符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文档结构图 字符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正文文本 字符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页脚 字符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明显强调1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纯文本 字符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尾注文本 字符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注释标题 字符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页眉 字符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不明显参考1"/>
    <w:qFormat/>
    <w:uiPriority w:val="31"/>
    <w:rPr>
      <w:smallCaps/>
      <w:color w:val="5A5A5A"/>
    </w:rPr>
  </w:style>
  <w:style w:type="character" w:customStyle="1" w:styleId="244">
    <w:name w:val="正文文本缩进 字符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题注 字符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正文文本 2 字符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正文文本 3 字符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正文文本缩进 2 字符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标题 字符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日期 字符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列出段落 字符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字符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6AAB-DDBC-4BD6-9627-D233EB3274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5785</Words>
  <Characters>32979</Characters>
  <Lines>274</Lines>
  <Paragraphs>77</Paragraphs>
  <TotalTime>0</TotalTime>
  <ScaleCrop>false</ScaleCrop>
  <LinksUpToDate>false</LinksUpToDate>
  <CharactersWithSpaces>38687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2411-12-31T15:59:00Z</cp:lastPrinted>
  <dcterms:modified xsi:type="dcterms:W3CDTF">2024-11-08T09:20:46Z</dcterms:modified>
  <dc:title>MTG_TITLE</dc:title>
  <cp:revision>384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052EF2A023384B07ABF8ADEFF806CE44</vt:lpwstr>
  </property>
</Properties>
</file>